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5"/>
        <w:tblW w:w="0" w:type="auto"/>
        <w:tblLook w:val="04A0"/>
      </w:tblPr>
      <w:tblGrid>
        <w:gridCol w:w="4785"/>
        <w:gridCol w:w="4785"/>
      </w:tblGrid>
      <w:tr w:rsidR="00344E32" w:rsidRPr="00344E32" w:rsidTr="00344E32">
        <w:tc>
          <w:tcPr>
            <w:tcW w:w="4785" w:type="dxa"/>
          </w:tcPr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4E32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30.08.2021 г.</w:t>
            </w:r>
          </w:p>
        </w:tc>
        <w:tc>
          <w:tcPr>
            <w:tcW w:w="4785" w:type="dxa"/>
          </w:tcPr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44E32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344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E32" w:rsidRPr="00344E32" w:rsidRDefault="00344E32" w:rsidP="00344E32">
            <w:pPr>
              <w:jc w:val="center"/>
              <w:rPr>
                <w:rFonts w:ascii="Times New Roman" w:hAnsi="Times New Roman" w:cs="Times New Roman"/>
              </w:rPr>
            </w:pPr>
            <w:r w:rsidRPr="0034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30.08.2021 г.   № 117/од</w:t>
            </w:r>
          </w:p>
        </w:tc>
      </w:tr>
    </w:tbl>
    <w:p w:rsidR="009D5BD2" w:rsidRDefault="009D5BD2"/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912431">
        <w:rPr>
          <w:rFonts w:ascii="Times New Roman" w:hAnsi="Times New Roman" w:cs="Times New Roman"/>
          <w:b/>
          <w:sz w:val="52"/>
          <w:szCs w:val="52"/>
        </w:rPr>
        <w:t>Инструменты эстрадного оркестра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2D1C57" w:rsidRPr="00F77445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491A58" w:rsidRPr="00F77445">
        <w:rPr>
          <w:rFonts w:ascii="Times New Roman" w:hAnsi="Times New Roman" w:cs="Times New Roman"/>
          <w:sz w:val="28"/>
          <w:szCs w:val="28"/>
        </w:rPr>
        <w:t>)</w:t>
      </w:r>
      <w:r w:rsidRPr="00F77445"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4E32">
        <w:rPr>
          <w:rFonts w:ascii="Times New Roman" w:hAnsi="Times New Roman" w:cs="Times New Roman"/>
          <w:bCs/>
          <w:sz w:val="28"/>
          <w:szCs w:val="28"/>
        </w:rPr>
        <w:t>09.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08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854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lastRenderedPageBreak/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преемственности программы "Инструменты эстрадного оркестра" 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процессе, уважительного отношения к иному мнению и художественно-эстетическим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 ОУ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"Инструменты эстрадного оркестра" для детей, поступивших в ОУ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F7744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Дополнительно </w:t>
      </w:r>
      <w:proofErr w:type="gramStart"/>
      <w:r w:rsidR="00CF36D6" w:rsidRPr="00F7744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CF36D6" w:rsidRPr="00F7744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исполнить самостоятельно подготовленные музыкальные произведения на фортепиано, духовом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или</w:t>
      </w:r>
      <w:r w:rsidR="00CF36D6"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ударном</w:t>
      </w:r>
      <w:r w:rsidR="00CF36D6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инструменте, гитаре</w:t>
      </w:r>
      <w:r w:rsidR="00CF36D6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(электрогитаре).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обучающимися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характерных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 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создавать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художественный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45"/>
          <w:tab w:val="left" w:pos="1247"/>
          <w:tab w:val="left" w:pos="2229"/>
          <w:tab w:val="left" w:pos="3833"/>
          <w:tab w:val="left" w:pos="5643"/>
          <w:tab w:val="left" w:pos="6874"/>
          <w:tab w:val="left" w:pos="7915"/>
          <w:tab w:val="left" w:pos="8272"/>
          <w:tab w:val="left" w:pos="9087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специфические</w:t>
      </w:r>
      <w:r w:rsidRPr="00F77445">
        <w:rPr>
          <w:rFonts w:ascii="Times New Roman" w:hAnsi="Times New Roman" w:cs="Times New Roman"/>
          <w:sz w:val="28"/>
          <w:szCs w:val="28"/>
        </w:rPr>
        <w:tab/>
        <w:t>джазовые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приемы</w:t>
      </w:r>
      <w:r w:rsidRPr="00F77445">
        <w:rPr>
          <w:rFonts w:ascii="Times New Roman" w:hAnsi="Times New Roman" w:cs="Times New Roman"/>
          <w:sz w:val="28"/>
          <w:szCs w:val="28"/>
        </w:rPr>
        <w:tab/>
        <w:t>в</w:t>
      </w:r>
      <w:r w:rsidRPr="00F77445">
        <w:rPr>
          <w:rFonts w:ascii="Times New Roman" w:hAnsi="Times New Roman" w:cs="Times New Roman"/>
          <w:sz w:val="28"/>
          <w:szCs w:val="28"/>
        </w:rPr>
        <w:tab/>
        <w:t>своей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>практической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умения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преодолевать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технические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разучивании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подбора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простых формах;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публичных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грамоты;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5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этапов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жизненного</w:t>
      </w:r>
      <w:r w:rsidRPr="00F7744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творческого</w:t>
      </w:r>
      <w:r w:rsidRPr="00F7744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классических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5"/>
          <w:tab w:val="left" w:pos="1206"/>
          <w:tab w:val="left" w:pos="2152"/>
          <w:tab w:val="left" w:pos="3684"/>
          <w:tab w:val="left" w:pos="5260"/>
          <w:tab w:val="left" w:pos="6874"/>
          <w:tab w:val="left" w:pos="7207"/>
          <w:tab w:val="left" w:pos="8260"/>
          <w:tab w:val="left" w:pos="9072"/>
          <w:tab w:val="left" w:pos="1038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осмысливать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музыкальные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произведения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</w:t>
      </w:r>
      <w:r w:rsidRPr="00F77445">
        <w:rPr>
          <w:rFonts w:ascii="Times New Roman" w:hAnsi="Times New Roman" w:cs="Times New Roman"/>
          <w:sz w:val="28"/>
          <w:szCs w:val="28"/>
        </w:rPr>
        <w:tab/>
        <w:t>события</w:t>
      </w:r>
      <w:r w:rsidRPr="00F77445">
        <w:rPr>
          <w:rFonts w:ascii="Times New Roman" w:hAnsi="Times New Roman" w:cs="Times New Roman"/>
          <w:sz w:val="28"/>
          <w:szCs w:val="28"/>
        </w:rPr>
        <w:tab/>
        <w:t>путем</w:t>
      </w:r>
      <w:r w:rsidRPr="00F77445">
        <w:rPr>
          <w:rFonts w:ascii="Times New Roman" w:hAnsi="Times New Roman" w:cs="Times New Roman"/>
          <w:sz w:val="28"/>
          <w:szCs w:val="28"/>
        </w:rPr>
        <w:tab/>
        <w:t>изложения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письменной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форме, 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ведения бесед,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дискуссий;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вокально-интонационных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группового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(ансамблевого)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индивидуального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пения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сочинению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текста.</w:t>
      </w:r>
    </w:p>
    <w:p w:rsidR="00F77445" w:rsidRPr="00301AA1" w:rsidRDefault="00F77445" w:rsidP="00301AA1">
      <w:pPr>
        <w:widowControl w:val="0"/>
        <w:tabs>
          <w:tab w:val="left" w:pos="1582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t>Результатом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</w:t>
      </w:r>
      <w:r w:rsidRPr="00301A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дополнительным годом обучения, сверх обозначенных предметных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областей,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является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приобретение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обучающимися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следующих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знаний,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умений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и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навыков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75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достаточном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художественном уровне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 со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стилевыми особенностями;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2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изобразительного,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киноискусства;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0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 знания и умения в области элементарной теории музыки (знания 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материала, умения осуществлять построение интервалов и аккордов, группировку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длительностей,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транспозицию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заданного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3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современной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музыки.</w:t>
      </w:r>
    </w:p>
    <w:p w:rsidR="00F77445" w:rsidRPr="00301AA1" w:rsidRDefault="00F77445" w:rsidP="00301AA1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учебным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предметам</w:t>
      </w:r>
      <w:r w:rsidRPr="00301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обязательной части должны отражать: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чтение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</w:t>
      </w:r>
      <w:r w:rsidRPr="005805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листа: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обучающегося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использовать многообразные возможности музыкальных инструментов для достижения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убедительной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авторского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накапливать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эпох,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включающего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 и джазовой музыки;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инструментов эстрадного оркестра;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управлять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оправданных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приемов;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над исполнительскими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трудностями;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полифонического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мышления,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ладогармонического,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тембрового слуха;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солиста.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Ансамбль: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коллективного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намерений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реализацию исполнительского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замысла;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ансамблей)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решению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задач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обусловленные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содержанием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импровизации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сочинения: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формообразующих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исходного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(мотива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его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развития),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фразировки;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артикуляции,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акцентирования;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гармонических,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моделей;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транспонирования (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секвенцирования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схем,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буквенными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цифровыми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символами;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отражающий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обучающегося художественного вкуса, сформированного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музыкального слуха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 числе: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слышать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анализировать аккордовые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интервальные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цепочки;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владения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элементами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(исполнение</w:t>
      </w:r>
      <w:r w:rsidRPr="00F774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инструменте,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запись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слуху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т.п.).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(зарубежная,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отечественная):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значении</w:t>
      </w:r>
      <w:r w:rsidRPr="00F77445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системе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культуры,</w:t>
      </w:r>
      <w:r w:rsidR="00580567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духовно-нравственном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человека;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биографий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согласно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 различных исторических периодов, стилей, жанров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 эпохи барокко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 современности;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тематический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пройденных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особенностей, жанровых черт,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фактурных,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ладовых особенностей;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взаимосвязи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(изобразительного,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киноискусства,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литературы),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направления,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жанры;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национальных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традиций,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фольклорных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истоков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вкуса,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пробуждение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 музыкальному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музыкальной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определять</w:t>
      </w:r>
      <w:r w:rsidRPr="00F774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</w:t>
      </w:r>
      <w:r w:rsidRPr="00F774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фрагменты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иного</w:t>
      </w:r>
      <w:r w:rsidRPr="00F774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изученного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отношение,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обнаруживать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ассоциативные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связи 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Элементарная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музыки: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(понятий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интервалы,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аккорды,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диатоника,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фактур).</w:t>
      </w:r>
    </w:p>
    <w:p w:rsidR="00F77445" w:rsidRPr="004206DA" w:rsidRDefault="00F77445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lastRenderedPageBreak/>
        <w:t xml:space="preserve">Учебный план программы </w:t>
      </w:r>
      <w:r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>
        <w:rPr>
          <w:rFonts w:ascii="Times New Roman" w:hAnsi="Times New Roman" w:cs="Times New Roman"/>
          <w:spacing w:val="-2"/>
          <w:sz w:val="28"/>
        </w:rPr>
        <w:t xml:space="preserve"> 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BB63F6" w:rsidRPr="00BB63F6" w:rsidRDefault="00BB63F6" w:rsidP="00BB63F6">
      <w:pPr>
        <w:pStyle w:val="ae"/>
        <w:spacing w:before="1"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8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1793,5 часов, в 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числе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 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- 641,5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362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132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8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Сольфеджио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378,5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Слушание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 (зарубежная,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BB63F6">
      <w:pPr>
        <w:pStyle w:val="ae"/>
        <w:spacing w:line="360" w:lineRule="auto"/>
        <w:ind w:right="414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 дополнительным годом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2123,5 часа, в том числе по предметным областям (ПО) и 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- 740,5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428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165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часов;</w:t>
      </w:r>
    </w:p>
    <w:p w:rsidR="00BB63F6" w:rsidRPr="00BB63F6" w:rsidRDefault="00BB63F6" w:rsidP="00BB63F6">
      <w:pPr>
        <w:pStyle w:val="ae"/>
        <w:spacing w:line="360" w:lineRule="auto"/>
        <w:ind w:left="9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ПО.02. Теория 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 УП.01. Сольфеджио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- 428 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 Слушание музыки</w:t>
      </w:r>
    </w:p>
    <w:p w:rsidR="00BB63F6" w:rsidRPr="00BB63F6" w:rsidRDefault="00BB63F6" w:rsidP="00BB63F6">
      <w:pPr>
        <w:pStyle w:val="ae"/>
        <w:spacing w:line="360" w:lineRule="auto"/>
        <w:ind w:right="416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УП.04.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 музыки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 часа.</w:t>
      </w:r>
    </w:p>
    <w:p w:rsidR="00BB63F6" w:rsidRPr="00BB63F6" w:rsidRDefault="00BB63F6" w:rsidP="00BB63F6">
      <w:pPr>
        <w:pStyle w:val="ae"/>
        <w:spacing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1254 часа, в том числе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 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before="1"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- 445,5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297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 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82,5 часа;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 Теория и история музыки: УП.01. Сольфеджио - 247,5 часа,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 отечественная)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 часа.</w:t>
      </w:r>
    </w:p>
    <w:p w:rsidR="00BB63F6" w:rsidRPr="00BB63F6" w:rsidRDefault="00BB63F6" w:rsidP="00BB63F6">
      <w:pPr>
        <w:pStyle w:val="ae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реализации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программы</w:t>
      </w:r>
      <w:r w:rsidRPr="00BB63F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дополнительным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годом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</w:t>
      </w:r>
      <w:r w:rsidRPr="00BB63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сроком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5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лет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аудиторной</w:t>
      </w:r>
      <w:r w:rsidRPr="00BB63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нагрузки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1584 часа, в том числе по предметным областям (ПО) и учебным предметам (УП):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Специальность</w:t>
      </w:r>
      <w:r w:rsidRPr="00BB63F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- 544,5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</w:p>
    <w:p w:rsidR="00BB63F6" w:rsidRPr="00BB63F6" w:rsidRDefault="00BB63F6" w:rsidP="00BB63F6">
      <w:pPr>
        <w:pStyle w:val="a4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360" w:lineRule="auto"/>
        <w:ind w:left="3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363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115,5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ОП.02. Теория и история музыки: УП.01. Сольфеджио - 297 часов,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 час,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344E32">
      <w:pPr>
        <w:pStyle w:val="ae"/>
        <w:spacing w:before="1" w:line="360" w:lineRule="auto"/>
        <w:ind w:right="420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BB63F6" w:rsidRPr="00BB63F6" w:rsidRDefault="00BB63F6" w:rsidP="00BB63F6">
      <w:pPr>
        <w:pStyle w:val="ae"/>
        <w:spacing w:before="80" w:line="360" w:lineRule="auto"/>
        <w:ind w:right="421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344E32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344E32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344E32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344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 xml:space="preserve">, которые проводятся с </w:t>
      </w:r>
      <w:r w:rsidRPr="004206DA">
        <w:rPr>
          <w:rFonts w:ascii="Times New Roman" w:hAnsi="Times New Roman"/>
          <w:sz w:val="28"/>
          <w:szCs w:val="28"/>
        </w:rPr>
        <w:lastRenderedPageBreak/>
        <w:t>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усмотрению ОУ.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E82D93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Учебные планы являются неотъемлемой частью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включены в Приложение 1</w:t>
      </w:r>
      <w:r w:rsidR="009840BF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- 40 недель. 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E82D93" w:rsidRPr="00E82D93" w:rsidRDefault="00ED4BB7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и включен в Приложение 2.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611A" w:rsidRDefault="00ED4BB7" w:rsidP="00D46C1A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E82D93"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82D93">
        <w:rPr>
          <w:rFonts w:ascii="Times New Roman" w:hAnsi="Times New Roman" w:cs="Times New Roman"/>
          <w:sz w:val="28"/>
          <w:szCs w:val="28"/>
        </w:rPr>
        <w:t xml:space="preserve">учебных предметов являются неотъемлемой частью 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sz w:val="28"/>
          <w:szCs w:val="28"/>
        </w:rPr>
        <w:t>и включены в Приложение 3.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 xml:space="preserve">по </w:t>
      </w:r>
      <w:r w:rsidR="00D73AE8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14.08.2013 № 1146) (далее – Положение об итоговой аттестации).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="00F77445">
        <w:rPr>
          <w:sz w:val="28"/>
          <w:szCs w:val="28"/>
        </w:rPr>
        <w:t>.</w:t>
      </w:r>
      <w:r w:rsidR="00CC68F7" w:rsidRPr="00E200C7">
        <w:rPr>
          <w:color w:val="000000"/>
          <w:sz w:val="28"/>
          <w:szCs w:val="28"/>
        </w:rPr>
        <w:t xml:space="preserve">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083B77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83B77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0653C">
        <w:rPr>
          <w:rFonts w:ascii="Times New Roman" w:hAnsi="Times New Roman" w:cs="Times New Roman"/>
          <w:spacing w:val="-2"/>
          <w:sz w:val="28"/>
        </w:rPr>
        <w:t xml:space="preserve">школы </w:t>
      </w:r>
      <w:r w:rsidRPr="00E200C7">
        <w:rPr>
          <w:rFonts w:ascii="Times New Roman" w:hAnsi="Times New Roman" w:cs="Times New Roman"/>
          <w:spacing w:val="-2"/>
          <w:sz w:val="28"/>
        </w:rPr>
        <w:t>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</w:t>
      </w:r>
      <w:r w:rsidR="001B6CAB">
        <w:rPr>
          <w:spacing w:val="-2"/>
          <w:sz w:val="28"/>
        </w:rPr>
        <w:t>музыкальной</w:t>
      </w:r>
      <w:r w:rsidR="001B6CAB" w:rsidRPr="00E200C7">
        <w:rPr>
          <w:rStyle w:val="FontStyle16"/>
          <w:sz w:val="28"/>
          <w:szCs w:val="28"/>
        </w:rPr>
        <w:t xml:space="preserve"> </w:t>
      </w:r>
      <w:r w:rsidRPr="00E200C7">
        <w:rPr>
          <w:rStyle w:val="FontStyle16"/>
          <w:sz w:val="28"/>
          <w:szCs w:val="28"/>
        </w:rPr>
        <w:t xml:space="preserve">школы.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4724E2">
        <w:rPr>
          <w:rFonts w:ascii="Times New Roman" w:hAnsi="Times New Roman" w:cs="Times New Roman"/>
          <w:spacing w:val="-2"/>
          <w:sz w:val="28"/>
        </w:rPr>
        <w:t xml:space="preserve">школе </w:t>
      </w:r>
      <w:r w:rsidRPr="00E200C7">
        <w:rPr>
          <w:rFonts w:ascii="Times New Roman" w:hAnsi="Times New Roman" w:cs="Times New Roman"/>
          <w:spacing w:val="-2"/>
          <w:sz w:val="28"/>
        </w:rPr>
        <w:t>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 xml:space="preserve">ческой службы 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80EF6"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</w:t>
      </w:r>
      <w:r w:rsidR="001B6CAB" w:rsidRPr="001B6CAB">
        <w:rPr>
          <w:rFonts w:ascii="Times New Roman" w:hAnsi="Times New Roman" w:cs="Times New Roman"/>
          <w:spacing w:val="-2"/>
          <w:sz w:val="28"/>
        </w:rPr>
        <w:t xml:space="preserve">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4724E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837DE" w:rsidRPr="001A0533" w:rsidRDefault="006D1302" w:rsidP="001B6C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B6CAB">
        <w:rPr>
          <w:rFonts w:ascii="Times New Roman" w:hAnsi="Times New Roman" w:cs="Times New Roman"/>
          <w:sz w:val="28"/>
          <w:szCs w:val="28"/>
        </w:rPr>
        <w:t>.</w:t>
      </w: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B1" w:rsidRDefault="009F0BB1" w:rsidP="006837DE">
      <w:pPr>
        <w:spacing w:after="0" w:line="240" w:lineRule="auto"/>
      </w:pPr>
      <w:r>
        <w:separator/>
      </w:r>
    </w:p>
  </w:endnote>
  <w:endnote w:type="continuationSeparator" w:id="0">
    <w:p w:rsidR="009F0BB1" w:rsidRDefault="009F0BB1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B1" w:rsidRDefault="009F0BB1" w:rsidP="006837DE">
      <w:pPr>
        <w:spacing w:after="0" w:line="240" w:lineRule="auto"/>
      </w:pPr>
      <w:r>
        <w:separator/>
      </w:r>
    </w:p>
  </w:footnote>
  <w:footnote w:type="continuationSeparator" w:id="0">
    <w:p w:rsidR="009F0BB1" w:rsidRDefault="009F0BB1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C807F3" w:rsidRDefault="000836EF">
        <w:pPr>
          <w:pStyle w:val="a6"/>
          <w:jc w:val="center"/>
        </w:pPr>
        <w:fldSimple w:instr="PAGE   \* MERGEFORMAT">
          <w:r w:rsidR="001B6CAB">
            <w:rPr>
              <w:noProof/>
            </w:rPr>
            <w:t>26</w:t>
          </w:r>
        </w:fldSimple>
      </w:p>
    </w:sdtContent>
  </w:sdt>
  <w:p w:rsidR="00C807F3" w:rsidRDefault="00C80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6EF"/>
    <w:rsid w:val="00083B77"/>
    <w:rsid w:val="00090308"/>
    <w:rsid w:val="000A5195"/>
    <w:rsid w:val="000E10CA"/>
    <w:rsid w:val="000E6E73"/>
    <w:rsid w:val="00105B5D"/>
    <w:rsid w:val="00113AF9"/>
    <w:rsid w:val="00167946"/>
    <w:rsid w:val="00190E1B"/>
    <w:rsid w:val="001A0533"/>
    <w:rsid w:val="001B3A2D"/>
    <w:rsid w:val="001B6CAB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E27F6"/>
    <w:rsid w:val="0030162C"/>
    <w:rsid w:val="00301AA1"/>
    <w:rsid w:val="00344E32"/>
    <w:rsid w:val="00366CB6"/>
    <w:rsid w:val="003965D6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80567"/>
    <w:rsid w:val="005C07E8"/>
    <w:rsid w:val="005C2EB9"/>
    <w:rsid w:val="005F62A6"/>
    <w:rsid w:val="006047BF"/>
    <w:rsid w:val="006837DE"/>
    <w:rsid w:val="006B435A"/>
    <w:rsid w:val="006D1302"/>
    <w:rsid w:val="006D5BEF"/>
    <w:rsid w:val="00730F0C"/>
    <w:rsid w:val="0074298D"/>
    <w:rsid w:val="007803F7"/>
    <w:rsid w:val="007976E6"/>
    <w:rsid w:val="007D3D89"/>
    <w:rsid w:val="00841970"/>
    <w:rsid w:val="00882C47"/>
    <w:rsid w:val="008F0647"/>
    <w:rsid w:val="00912431"/>
    <w:rsid w:val="0093191E"/>
    <w:rsid w:val="00970B44"/>
    <w:rsid w:val="009840BF"/>
    <w:rsid w:val="009D5BD2"/>
    <w:rsid w:val="009F0BB1"/>
    <w:rsid w:val="00A137E7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44C1A"/>
    <w:rsid w:val="00C807F3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B3612"/>
    <w:rsid w:val="00ED4BB7"/>
    <w:rsid w:val="00F0653C"/>
    <w:rsid w:val="00F30D51"/>
    <w:rsid w:val="00F357C6"/>
    <w:rsid w:val="00F35F48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16</cp:revision>
  <dcterms:created xsi:type="dcterms:W3CDTF">2019-01-27T15:40:00Z</dcterms:created>
  <dcterms:modified xsi:type="dcterms:W3CDTF">2021-09-23T11:49:00Z</dcterms:modified>
</cp:coreProperties>
</file>